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pBdr/>
        <w:contextualSpacing w:val="0"/>
        <w:rPr/>
      </w:pPr>
      <w:bookmarkStart w:colFirst="0" w:colLast="0" w:name="_60w50rg2bh1q" w:id="0"/>
      <w:bookmarkEnd w:id="0"/>
      <w:r w:rsidDel="00000000" w:rsidR="00000000" w:rsidRPr="00000000">
        <w:rPr>
          <w:rtl w:val="0"/>
        </w:rPr>
        <w:t xml:space="preserve">Planificación de actividades interpersonales orales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Nivel de la clase: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Tema de la lección: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rtl w:val="0"/>
        </w:rPr>
        <w:t xml:space="preserve">Objetivos de la actividad: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Los estudiantes podrán...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b w:val="1"/>
          <w:rtl w:val="0"/>
        </w:rPr>
        <w:t xml:space="preserve">Descripción de la actividad </w:t>
      </w:r>
      <w:r w:rsidDel="00000000" w:rsidR="00000000" w:rsidRPr="00000000">
        <w:rPr>
          <w:rtl w:val="0"/>
        </w:rPr>
        <w:t xml:space="preserve">(Contexto, qué hace estudiante A y qué hace estudiante B):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Funciones del lenguaje necesarias: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Estrategias de comunicación:</w:t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Conocimientos culturales necesarios:</w:t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Extensión (¿qué harán los estudiantes con la información compartida?)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